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BB" w:rsidRPr="00576DBB" w:rsidRDefault="00576DBB" w:rsidP="00BA0FCC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bookmarkStart w:id="0" w:name="_GoBack"/>
      <w:r w:rsidRPr="00576DBB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Бесплатная юридическая помощь</w:t>
      </w:r>
    </w:p>
    <w:bookmarkEnd w:id="0"/>
    <w:p w:rsidR="00BA0FCC" w:rsidRDefault="00BA0FCC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  <w:r>
        <w:rPr>
          <w:rFonts w:ascii="Scada" w:eastAsia="Times New Roman" w:hAnsi="Scada" w:cs="Arial"/>
          <w:color w:val="000000"/>
          <w:sz w:val="36"/>
          <w:szCs w:val="36"/>
          <w:lang w:eastAsia="ru-RU"/>
        </w:rPr>
        <w:t xml:space="preserve">Ссылка на </w:t>
      </w:r>
      <w:r w:rsidRPr="00BA0FCC">
        <w:rPr>
          <w:rFonts w:ascii="Scada" w:eastAsia="Times New Roman" w:hAnsi="Scada" w:cs="Arial"/>
          <w:color w:val="000000"/>
          <w:sz w:val="36"/>
          <w:szCs w:val="36"/>
          <w:lang w:eastAsia="ru-RU"/>
        </w:rPr>
        <w:t>Список центров бесплатной юридической помощи</w:t>
      </w:r>
      <w:r>
        <w:rPr>
          <w:rFonts w:ascii="Scada" w:eastAsia="Times New Roman" w:hAnsi="Scada" w:cs="Arial"/>
          <w:color w:val="000000"/>
          <w:sz w:val="36"/>
          <w:szCs w:val="36"/>
          <w:lang w:eastAsia="ru-RU"/>
        </w:rPr>
        <w:t xml:space="preserve">:  </w:t>
      </w:r>
      <w:r w:rsidRPr="00BA0FCC">
        <w:rPr>
          <w:rFonts w:ascii="Scada" w:eastAsia="Times New Roman" w:hAnsi="Scada" w:cs="Arial"/>
          <w:color w:val="000000"/>
          <w:sz w:val="36"/>
          <w:szCs w:val="36"/>
          <w:lang w:eastAsia="ru-RU"/>
        </w:rPr>
        <w:t>https://minjust.gov.ru/ru/pages/pravovaya-informaciya/spisok-centrov-besplatnoj-yuridicheskoj-pomoshi/</w:t>
      </w:r>
    </w:p>
    <w:p w:rsidR="00BA0FCC" w:rsidRDefault="00BA0FCC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</w:p>
    <w:p w:rsidR="00576DBB" w:rsidRPr="00576DBB" w:rsidRDefault="00576DBB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  <w:r w:rsidRPr="00576DBB">
        <w:rPr>
          <w:rFonts w:ascii="Scada" w:eastAsia="Times New Roman" w:hAnsi="Scada" w:cs="Arial"/>
          <w:color w:val="000000"/>
          <w:sz w:val="36"/>
          <w:szCs w:val="36"/>
          <w:lang w:eastAsia="ru-RU"/>
        </w:rPr>
        <w:t>Что такое бесплатная юридическая помощь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доступности квалифицированной юридической помощи – одна из важнейших социальных задач государства.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ее реализации 21 ноября 2011 г.  принят  Федеральный закон № 324-ФЗ «О бесплатной юридической помощи в Российской Федерации» (далее – Федеральный закон). Он направлен на создание условий для получения бесплатной юридической помощи малоимущими и иными социально незащищенными категориями граждан.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государственной политики в сфере оказания бесплатной юридической помощи относится к полномочиям органов государственной власти субъектов Российской Федерации. На уровне субъекта Российской Федерации  (ст. 12 Федерального закона):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издаются законы и иные нормативные правовые акты, в том числе  расширяющие перечень категорий граждан, имеющих право на получение бесплатной юридической помощи, и перечень случаев оказания бесплатной юридической помощи;</w:t>
      </w: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определяется орган исполнительной власти субъекта Российской Федерации, уполномоченный в области обеспечения граждан бесплатной юридической помощью, и его компетенции;</w:t>
      </w:r>
      <w:proofErr w:type="gramEnd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определяется порядок взаимодействия участников государственной системы бесплатной юридической помощи на территории субъекта Российской Федерации;</w:t>
      </w: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определяется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576DBB" w:rsidRPr="00576DBB" w:rsidRDefault="00576DBB" w:rsidP="00576DB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Координация работы по реализации Федерального закона возложена на уполномоченный федеральный орган исполнительной власти – Министерство юстиции Российской Федерации.</w:t>
      </w:r>
    </w:p>
    <w:p w:rsidR="00576DBB" w:rsidRPr="00576DBB" w:rsidRDefault="00576DBB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  <w:r w:rsidRPr="00576DBB">
        <w:rPr>
          <w:rFonts w:ascii="Scada" w:eastAsia="Times New Roman" w:hAnsi="Scada" w:cs="Arial"/>
          <w:color w:val="000000"/>
          <w:sz w:val="36"/>
          <w:szCs w:val="36"/>
          <w:lang w:eastAsia="ru-RU"/>
        </w:rPr>
        <w:t>Кто имеет право получить бесплатную юридическую помощь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Частью 1 статьи 20 Федерального закона от 21.11.2011 № 324-ФЗ «О бесплатной юридической помощи в Российской Федерации» (далее – Федеральный закон № 324-ФЗ) определены категории граждан, которые имеют право на получение бесплатной юридической помощи в рамках государственной системы бесплатной юридической помощи: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инвалиды I и II группы;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</w:t>
      </w: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законных интересов таких детей;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7) граждане, имеющие право на бесплатную юридическую помощь в соответствии с Законом Российской Федерации от 02.07.1992 № 3185-1 «О психиатрической помощи и гарантиях прав граждан при ее оказании»;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8.1) граждане, пострадавшие в результате чрезвычайной ситуации: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дств к с</w:t>
      </w:r>
      <w:proofErr w:type="gramEnd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статьей 12 Федерального закона № 324-ФЗ законами субъектов Российской Федерации может быть расширен перечень категорий граждан, имеющих право на получение бесплатной юридической помощи в регионе</w:t>
      </w:r>
      <w:r w:rsidR="00BA0F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6DBB" w:rsidRPr="00576DBB" w:rsidRDefault="00576DBB" w:rsidP="00576DB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категории граждан, которые имеют право на получение бесплатной юридической помощи в субъектах Российской Федерации, необходимо уточнять на официальных сайтах органа исполнительной власти региона, уполномоченного в области обеспечения граждан бесплатной юридической помощью, и территориального органа Минюста России.</w:t>
      </w:r>
    </w:p>
    <w:p w:rsidR="00576DBB" w:rsidRDefault="00576DBB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</w:p>
    <w:p w:rsidR="00576DBB" w:rsidRPr="00576DBB" w:rsidRDefault="00576DBB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  <w:r w:rsidRPr="00576DBB">
        <w:rPr>
          <w:rFonts w:ascii="Scada" w:eastAsia="Times New Roman" w:hAnsi="Scada" w:cs="Arial"/>
          <w:color w:val="000000"/>
          <w:sz w:val="36"/>
          <w:szCs w:val="36"/>
          <w:lang w:eastAsia="ru-RU"/>
        </w:rPr>
        <w:lastRenderedPageBreak/>
        <w:t>Случаи и виды оказания бесплатной юридической помощи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 21.11.2011 № 324-ФЗ «О бесплатной юридической помощи в Российской Федерации» (далее – Федеральный закон № 324-ФЗ) не предусматривает оказания бесплатной юридической помощи в уголовном и административном судопроизводстве.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 (см. статьи 50 и 51 Уголовно-процессуального кодекса Российской Федерации).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Гражданам, имеющим право на получение бесплатной юридической помощи в рамках государственной системы бесплатной юридической помощи (часть 1 статьи 20 Федерального закона № 324-ФЗ), бесплатная юридическая помощь в виде правового консультирования в устной и письменной форме и составления для них заявления, жалобы, ходатайства и другие документы правового характера оказывается в следующих случаях: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отказ работодателя в заключени</w:t>
      </w: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трудового договора, нарушающий гарантии, установленные Трудовым кодексом Российской Федерации, восстановление на работе, взыскание заработка, в том числе за время вынужденного прогула, </w:t>
      </w: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компенсации морального вреда, причиненного неправомерными действиями (бездействием) работодателя;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ограничение дееспособности;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обжалование нарушений прав и свобод граждан при оказании психиатрической помощи;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14) </w:t>
      </w: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медико-социальная</w:t>
      </w:r>
      <w:proofErr w:type="gramEnd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экспертиза и реабилитация инвалидов;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Гражданам, имеющим право на получение бесплатной юридической помощи в рамках государственной системы бесплатной юридической помощи (часть 1 </w:t>
      </w: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статьи 20 Федерального закона № 324-ФЗ), бесплатная юридическая помощь в виде представления интересов в судах, государственных и муниципальных органах, организациях оказывается в случаях, если они являются: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истцами и ответчиками при рассмотрении судами дел о: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истцами (заявителями) при рассмотрении судами дел: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 взыскании алиментов;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3) гражданами, в отношении которых судом рассматривается заявление о признании их недееспособными;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576DBB" w:rsidRPr="00576DBB" w:rsidRDefault="00576DBB" w:rsidP="00576DB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статьей 12 Федерального закона № 324-ФЗ законами субъектов Российской Федерации может быть расширен перечень случаев оказания бесплатной юридической помощи в регионе.</w:t>
      </w:r>
    </w:p>
    <w:p w:rsidR="00576DBB" w:rsidRPr="00576DBB" w:rsidRDefault="00576DBB" w:rsidP="00576DB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Дополнительные случаи оказания бесплатной юридической помощи, установленные в субъектах Российской Федерации, необходимо уточнять на официальных сайтах органа исполнительной власти региона, уполномоченного в области обеспечения граждан бесплатной юридической помощью, и территориального органа Минюста России.</w:t>
      </w:r>
    </w:p>
    <w:p w:rsidR="00576DBB" w:rsidRDefault="00576DBB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</w:p>
    <w:p w:rsidR="00576DBB" w:rsidRPr="00576DBB" w:rsidRDefault="00576DBB" w:rsidP="00576DB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  <w:lang w:eastAsia="ru-RU"/>
        </w:rPr>
      </w:pPr>
      <w:r w:rsidRPr="00576DBB">
        <w:rPr>
          <w:rFonts w:ascii="Scada" w:eastAsia="Times New Roman" w:hAnsi="Scada" w:cs="Arial"/>
          <w:color w:val="000000"/>
          <w:sz w:val="36"/>
          <w:szCs w:val="36"/>
          <w:lang w:eastAsia="ru-RU"/>
        </w:rPr>
        <w:t>Перечень документов, необходимых при обращении за бесплатной юридической помощью</w:t>
      </w:r>
    </w:p>
    <w:p w:rsidR="00576DBB" w:rsidRPr="00576DBB" w:rsidRDefault="00576DBB" w:rsidP="00576DB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6D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обращении за бесплатной юридической помощью гражданину необходимо иметь при себе пакет документов, подтверждающих его право на получение такой помощи. Поскольку организация деятельности участников систем бесплатной юридической помощи относится к компетенции субъектов Российской Федерации и регулируется принятыми во исполнение Федерального закона нормативными актами субъектов, перечень необходимых документов может несколько отличаться в различных регионах. Более подробная информация – на сайтах территориальных органов Минюста России.</w:t>
      </w:r>
    </w:p>
    <w:p w:rsidR="002311F7" w:rsidRDefault="002311F7"/>
    <w:sectPr w:rsidR="002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3E0B"/>
    <w:multiLevelType w:val="multilevel"/>
    <w:tmpl w:val="EA4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BB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76DBB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0FCC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6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6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9668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0665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93388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9059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94252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40224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2250</Words>
  <Characters>12831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2020-12-02T07:00:00Z</dcterms:created>
  <dcterms:modified xsi:type="dcterms:W3CDTF">2020-12-02T07:09:00Z</dcterms:modified>
</cp:coreProperties>
</file>